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2F4AC2" w:rsidRPr="00EB43D6" w:rsidTr="00354072">
        <w:trPr>
          <w:trHeight w:val="66"/>
        </w:trPr>
        <w:tc>
          <w:tcPr>
            <w:tcW w:w="6663" w:type="dxa"/>
          </w:tcPr>
          <w:p w:rsidR="002F4AC2" w:rsidRPr="00EB43D6" w:rsidRDefault="002F4AC2" w:rsidP="00354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EB43D6">
              <w:rPr>
                <w:rFonts w:ascii="Arial" w:hAnsi="Arial" w:cs="Arial"/>
                <w:sz w:val="24"/>
                <w:szCs w:val="24"/>
              </w:rPr>
              <w:br w:type="page"/>
            </w:r>
            <w:r w:rsidRPr="00EB43D6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 w:rsidRPr="00EB43D6"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2F4AC2" w:rsidRPr="00EB43D6" w:rsidRDefault="002F4AC2" w:rsidP="003540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2F4AC2" w:rsidRPr="00EB43D6" w:rsidRDefault="002F4AC2" w:rsidP="002218D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2218D2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="001B007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218D2">
              <w:rPr>
                <w:rFonts w:ascii="Arial" w:hAnsi="Arial" w:cs="Arial"/>
                <w:color w:val="000000" w:themeColor="text1"/>
                <w:sz w:val="24"/>
                <w:szCs w:val="24"/>
              </w:rPr>
              <w:t>Dec</w:t>
            </w:r>
            <w:r w:rsidR="003C5B3E">
              <w:rPr>
                <w:rFonts w:ascii="Arial" w:hAnsi="Arial" w:cs="Arial"/>
                <w:color w:val="000000" w:themeColor="text1"/>
                <w:sz w:val="24"/>
                <w:szCs w:val="24"/>
              </w:rPr>
              <w:t>ember</w:t>
            </w:r>
            <w:r w:rsidR="002611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847A2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</w:tc>
      </w:tr>
    </w:tbl>
    <w:p w:rsidR="003E2E4A" w:rsidRDefault="002F4AC2" w:rsidP="00CA260E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To:</w:t>
      </w:r>
      <w:r w:rsidRPr="00EB43D6">
        <w:rPr>
          <w:rFonts w:ascii="Arial" w:hAnsi="Arial" w:cs="Arial"/>
          <w:color w:val="000000" w:themeColor="text1"/>
          <w:sz w:val="24"/>
          <w:szCs w:val="24"/>
        </w:rPr>
        <w:tab/>
      </w:r>
      <w:r w:rsidR="003E2E4A">
        <w:rPr>
          <w:rFonts w:ascii="Arial" w:hAnsi="Arial" w:cs="Arial"/>
          <w:color w:val="000000" w:themeColor="text1"/>
          <w:sz w:val="24"/>
          <w:szCs w:val="24"/>
        </w:rPr>
        <w:tab/>
        <w:t xml:space="preserve">M/s </w:t>
      </w:r>
    </w:p>
    <w:p w:rsidR="002F4AC2" w:rsidRPr="00EB43D6" w:rsidRDefault="002F4AC2" w:rsidP="003E2E4A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F4AC2" w:rsidRPr="00EB43D6" w:rsidRDefault="002F4AC2" w:rsidP="006132FE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Subject:</w:t>
      </w:r>
      <w:r w:rsidRPr="00EB43D6">
        <w:rPr>
          <w:rFonts w:ascii="Arial" w:hAnsi="Arial" w:cs="Arial"/>
          <w:color w:val="000000" w:themeColor="text1"/>
          <w:sz w:val="24"/>
          <w:szCs w:val="24"/>
        </w:rPr>
        <w:tab/>
      </w:r>
      <w:r w:rsidRPr="00EB43D6"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 w:rsidRPr="00EB43D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:-</w:t>
      </w:r>
      <w:r w:rsidR="002611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70C7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Chem/Glassware</w:t>
      </w:r>
      <w:r w:rsidR="007847A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SRGP</w:t>
      </w:r>
    </w:p>
    <w:p w:rsidR="002F4AC2" w:rsidRPr="00EB43D6" w:rsidRDefault="002F4AC2" w:rsidP="00241AE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B43D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186C04" w:rsidRPr="00002A00" w:rsidRDefault="00186C04" w:rsidP="002218D2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be provided to SCM Office by participating firm’s latest by </w:t>
      </w:r>
      <w:r w:rsidR="002218D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23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2218D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Dec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em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ber 2020 before 1</w:t>
      </w:r>
      <w:r w:rsidR="002218D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Style w:val="TableGrid"/>
        <w:tblW w:w="11019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2"/>
        <w:gridCol w:w="1878"/>
        <w:gridCol w:w="1890"/>
        <w:gridCol w:w="990"/>
        <w:gridCol w:w="2340"/>
        <w:gridCol w:w="994"/>
        <w:gridCol w:w="1021"/>
        <w:gridCol w:w="1264"/>
      </w:tblGrid>
      <w:tr w:rsidR="007235AC" w:rsidRPr="00EB43D6" w:rsidTr="002218D2">
        <w:trPr>
          <w:trHeight w:val="615"/>
        </w:trPr>
        <w:tc>
          <w:tcPr>
            <w:tcW w:w="642" w:type="dxa"/>
          </w:tcPr>
          <w:p w:rsidR="007235AC" w:rsidRPr="00EB43D6" w:rsidRDefault="007235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hAnsi="Arial" w:cs="Arial"/>
                <w:b/>
                <w:sz w:val="24"/>
                <w:szCs w:val="24"/>
              </w:rPr>
              <w:t>Ser</w:t>
            </w:r>
          </w:p>
        </w:tc>
        <w:tc>
          <w:tcPr>
            <w:tcW w:w="1878" w:type="dxa"/>
          </w:tcPr>
          <w:p w:rsidR="007235AC" w:rsidRPr="00EB43D6" w:rsidRDefault="007235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890" w:type="dxa"/>
          </w:tcPr>
          <w:p w:rsidR="007235AC" w:rsidRPr="00EB43D6" w:rsidRDefault="007235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990" w:type="dxa"/>
          </w:tcPr>
          <w:p w:rsidR="007235AC" w:rsidRPr="00EB43D6" w:rsidRDefault="007235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2340" w:type="dxa"/>
          </w:tcPr>
          <w:p w:rsidR="007235AC" w:rsidRPr="00EB43D6" w:rsidRDefault="007235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994" w:type="dxa"/>
          </w:tcPr>
          <w:p w:rsidR="007235AC" w:rsidRPr="00EB43D6" w:rsidRDefault="007235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021" w:type="dxa"/>
          </w:tcPr>
          <w:p w:rsidR="007235AC" w:rsidRPr="00EB43D6" w:rsidRDefault="007235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264" w:type="dxa"/>
          </w:tcPr>
          <w:p w:rsidR="007235AC" w:rsidRPr="00EB43D6" w:rsidRDefault="007235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3C5B3E" w:rsidRPr="003C5B3E" w:rsidTr="002218D2">
        <w:trPr>
          <w:trHeight w:val="754"/>
        </w:trPr>
        <w:tc>
          <w:tcPr>
            <w:tcW w:w="642" w:type="dxa"/>
          </w:tcPr>
          <w:p w:rsidR="003C5B3E" w:rsidRPr="00186C04" w:rsidRDefault="003C5B3E" w:rsidP="00186C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C5B3E" w:rsidRPr="003C5B3E" w:rsidRDefault="003C5B3E" w:rsidP="003C5B3E">
            <w:pPr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 xml:space="preserve">1-butanol </w:t>
            </w:r>
          </w:p>
        </w:tc>
        <w:tc>
          <w:tcPr>
            <w:tcW w:w="1890" w:type="dxa"/>
          </w:tcPr>
          <w:p w:rsidR="003C5B3E" w:rsidRPr="003C5B3E" w:rsidRDefault="003C5B3E" w:rsidP="003C5B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Sigma Aldrich/Merck</w:t>
            </w:r>
          </w:p>
        </w:tc>
        <w:tc>
          <w:tcPr>
            <w:tcW w:w="990" w:type="dxa"/>
          </w:tcPr>
          <w:p w:rsidR="003C5B3E" w:rsidRPr="003C5B3E" w:rsidRDefault="003C5B3E" w:rsidP="0018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ml</w:t>
            </w:r>
          </w:p>
        </w:tc>
        <w:tc>
          <w:tcPr>
            <w:tcW w:w="2340" w:type="dxa"/>
          </w:tcPr>
          <w:p w:rsidR="003C5B3E" w:rsidRPr="003C5B3E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American/European</w:t>
            </w:r>
          </w:p>
        </w:tc>
        <w:tc>
          <w:tcPr>
            <w:tcW w:w="994" w:type="dxa"/>
          </w:tcPr>
          <w:p w:rsidR="003C5B3E" w:rsidRPr="003C5B3E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21" w:type="dxa"/>
          </w:tcPr>
          <w:p w:rsidR="003C5B3E" w:rsidRPr="00EB43D6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3C5B3E" w:rsidRPr="00EB43D6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B3E" w:rsidRPr="003C5B3E" w:rsidTr="002218D2">
        <w:trPr>
          <w:trHeight w:val="754"/>
        </w:trPr>
        <w:tc>
          <w:tcPr>
            <w:tcW w:w="642" w:type="dxa"/>
          </w:tcPr>
          <w:p w:rsidR="003C5B3E" w:rsidRPr="00186C04" w:rsidRDefault="003C5B3E" w:rsidP="00186C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C5B3E" w:rsidRPr="003C5B3E" w:rsidRDefault="003C5B3E" w:rsidP="003C5B3E">
            <w:pPr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Ethanol</w:t>
            </w:r>
          </w:p>
        </w:tc>
        <w:tc>
          <w:tcPr>
            <w:tcW w:w="1890" w:type="dxa"/>
          </w:tcPr>
          <w:p w:rsidR="003C5B3E" w:rsidRPr="003C5B3E" w:rsidRDefault="003C5B3E" w:rsidP="003C5B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Sigma Aldrich/Merck</w:t>
            </w:r>
          </w:p>
        </w:tc>
        <w:tc>
          <w:tcPr>
            <w:tcW w:w="990" w:type="dxa"/>
          </w:tcPr>
          <w:p w:rsidR="003C5B3E" w:rsidRPr="003C5B3E" w:rsidRDefault="003C5B3E" w:rsidP="0018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ml</w:t>
            </w:r>
          </w:p>
        </w:tc>
        <w:tc>
          <w:tcPr>
            <w:tcW w:w="2340" w:type="dxa"/>
          </w:tcPr>
          <w:p w:rsidR="003C5B3E" w:rsidRPr="003C5B3E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American/European</w:t>
            </w:r>
          </w:p>
        </w:tc>
        <w:tc>
          <w:tcPr>
            <w:tcW w:w="994" w:type="dxa"/>
          </w:tcPr>
          <w:p w:rsidR="003C5B3E" w:rsidRPr="003C5B3E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021" w:type="dxa"/>
          </w:tcPr>
          <w:p w:rsidR="003C5B3E" w:rsidRPr="00EB43D6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3C5B3E" w:rsidRPr="00EB43D6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B3E" w:rsidRPr="003C5B3E" w:rsidTr="002218D2">
        <w:trPr>
          <w:trHeight w:val="754"/>
        </w:trPr>
        <w:tc>
          <w:tcPr>
            <w:tcW w:w="642" w:type="dxa"/>
          </w:tcPr>
          <w:p w:rsidR="003C5B3E" w:rsidRPr="00186C04" w:rsidRDefault="003C5B3E" w:rsidP="00186C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C5B3E" w:rsidRPr="003C5B3E" w:rsidRDefault="003C5B3E" w:rsidP="003C5B3E">
            <w:pPr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Titanium dioxide (TiO2)</w:t>
            </w:r>
          </w:p>
        </w:tc>
        <w:tc>
          <w:tcPr>
            <w:tcW w:w="1890" w:type="dxa"/>
          </w:tcPr>
          <w:p w:rsidR="003C5B3E" w:rsidRPr="003C5B3E" w:rsidRDefault="003C5B3E" w:rsidP="003C5B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Sigma Aldrich/Merck</w:t>
            </w:r>
          </w:p>
        </w:tc>
        <w:tc>
          <w:tcPr>
            <w:tcW w:w="990" w:type="dxa"/>
          </w:tcPr>
          <w:p w:rsidR="003C5B3E" w:rsidRPr="003C5B3E" w:rsidRDefault="003C5B3E" w:rsidP="0018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gm</w:t>
            </w:r>
          </w:p>
        </w:tc>
        <w:tc>
          <w:tcPr>
            <w:tcW w:w="2340" w:type="dxa"/>
          </w:tcPr>
          <w:p w:rsidR="003C5B3E" w:rsidRPr="003C5B3E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American/European</w:t>
            </w:r>
          </w:p>
        </w:tc>
        <w:tc>
          <w:tcPr>
            <w:tcW w:w="994" w:type="dxa"/>
          </w:tcPr>
          <w:p w:rsidR="003C5B3E" w:rsidRPr="003C5B3E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3C5B3E" w:rsidRPr="00EB43D6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3C5B3E" w:rsidRPr="00EB43D6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B3E" w:rsidRPr="003C5B3E" w:rsidTr="002218D2">
        <w:trPr>
          <w:trHeight w:val="754"/>
        </w:trPr>
        <w:tc>
          <w:tcPr>
            <w:tcW w:w="642" w:type="dxa"/>
          </w:tcPr>
          <w:p w:rsidR="003C5B3E" w:rsidRPr="00186C04" w:rsidRDefault="003C5B3E" w:rsidP="00186C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C5B3E" w:rsidRPr="003C5B3E" w:rsidRDefault="003C5B3E" w:rsidP="003C5B3E">
            <w:pPr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PbCl2</w:t>
            </w:r>
          </w:p>
        </w:tc>
        <w:tc>
          <w:tcPr>
            <w:tcW w:w="1890" w:type="dxa"/>
          </w:tcPr>
          <w:p w:rsidR="003C5B3E" w:rsidRPr="003C5B3E" w:rsidRDefault="003C5B3E" w:rsidP="003C5B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Sigma Aldrich/Merck</w:t>
            </w:r>
          </w:p>
        </w:tc>
        <w:tc>
          <w:tcPr>
            <w:tcW w:w="990" w:type="dxa"/>
          </w:tcPr>
          <w:p w:rsidR="003C5B3E" w:rsidRPr="003C5B3E" w:rsidRDefault="003C5B3E" w:rsidP="0018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gm</w:t>
            </w:r>
          </w:p>
        </w:tc>
        <w:tc>
          <w:tcPr>
            <w:tcW w:w="2340" w:type="dxa"/>
          </w:tcPr>
          <w:p w:rsidR="003C5B3E" w:rsidRPr="003C5B3E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American/European</w:t>
            </w:r>
          </w:p>
        </w:tc>
        <w:tc>
          <w:tcPr>
            <w:tcW w:w="994" w:type="dxa"/>
          </w:tcPr>
          <w:p w:rsidR="003C5B3E" w:rsidRPr="003C5B3E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3C5B3E" w:rsidRPr="00EB43D6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3C5B3E" w:rsidRPr="00EB43D6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B3E" w:rsidRPr="003C5B3E" w:rsidTr="002218D2">
        <w:trPr>
          <w:trHeight w:val="754"/>
        </w:trPr>
        <w:tc>
          <w:tcPr>
            <w:tcW w:w="642" w:type="dxa"/>
          </w:tcPr>
          <w:p w:rsidR="003C5B3E" w:rsidRPr="00186C04" w:rsidRDefault="003C5B3E" w:rsidP="00186C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C5B3E" w:rsidRPr="003C5B3E" w:rsidRDefault="003C5B3E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Pb</w:t>
            </w:r>
            <w:r w:rsidR="002218D2">
              <w:rPr>
                <w:rFonts w:ascii="Arial" w:hAnsi="Arial" w:cs="Arial"/>
                <w:sz w:val="24"/>
                <w:szCs w:val="24"/>
              </w:rPr>
              <w:t>Br</w:t>
            </w:r>
            <w:r w:rsidR="002218D2" w:rsidRPr="002218D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90" w:type="dxa"/>
          </w:tcPr>
          <w:p w:rsidR="003C5B3E" w:rsidRPr="003C5B3E" w:rsidRDefault="003C5B3E" w:rsidP="003C5B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Sigma Aldrich/Merck</w:t>
            </w:r>
          </w:p>
        </w:tc>
        <w:tc>
          <w:tcPr>
            <w:tcW w:w="990" w:type="dxa"/>
          </w:tcPr>
          <w:p w:rsidR="003C5B3E" w:rsidRPr="003C5B3E" w:rsidRDefault="003C5B3E" w:rsidP="0018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gm</w:t>
            </w:r>
          </w:p>
        </w:tc>
        <w:tc>
          <w:tcPr>
            <w:tcW w:w="2340" w:type="dxa"/>
          </w:tcPr>
          <w:p w:rsidR="003C5B3E" w:rsidRPr="003C5B3E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American/European</w:t>
            </w:r>
          </w:p>
        </w:tc>
        <w:tc>
          <w:tcPr>
            <w:tcW w:w="994" w:type="dxa"/>
          </w:tcPr>
          <w:p w:rsidR="003C5B3E" w:rsidRPr="003C5B3E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B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3C5B3E" w:rsidRPr="00EB43D6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3C5B3E" w:rsidRPr="00EB43D6" w:rsidRDefault="003C5B3E" w:rsidP="003C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Potassium Permanganate (KMnO4)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Sigma Aldrich/Merck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gm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American/European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Potassium hydroxide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Sigma Aldrich/Merck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gm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American/European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Sodium Hydroxide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Sigma Aldrich/Merck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gm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American/European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Face Mask 3 Layer with nose pin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Medical grade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Pieces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Safety and work wear Protective transparent Goggles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Medical grade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Pieces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Gloves Latex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Medical grade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Pieces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 xml:space="preserve">Chloroform 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Sigma Aldrich/Merck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ml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American/European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Methenal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Sigma Aldrich/Merck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ml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American/European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Zinc Chloride (ZnCl2)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Sigma Aldrich/Merck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gm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American/European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  <w:tcBorders>
              <w:top w:val="single" w:sz="4" w:space="0" w:color="auto"/>
            </w:tcBorders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 xml:space="preserve">Nickle Chloride 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Sigma Aldrich/Merck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gm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American/European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Plastic vials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Good quality glass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Pieces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Plastic safety wash bottles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Good quality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Pieces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Watch Glass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Good quality glass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Pieces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Glass cutter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Good quality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Pieces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Mortar and Pestle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Good quality Ceramic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Pieces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Micropipette with 200 tips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100-100 micro litter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Pieces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Hydrazine Hydrate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Sigma Aldrich/Merck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ml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50, 100 ml glass pipette with sucker balls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Good quality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Pieces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Burette clamp with stand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Good quality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Pieces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Aluminium Foil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Good quality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Pieces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8D2" w:rsidRPr="003C5B3E" w:rsidTr="002218D2">
        <w:trPr>
          <w:trHeight w:val="754"/>
        </w:trPr>
        <w:tc>
          <w:tcPr>
            <w:tcW w:w="642" w:type="dxa"/>
          </w:tcPr>
          <w:p w:rsidR="002218D2" w:rsidRPr="00186C04" w:rsidRDefault="002218D2" w:rsidP="00221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Plastic Wrap</w:t>
            </w:r>
          </w:p>
        </w:tc>
        <w:tc>
          <w:tcPr>
            <w:tcW w:w="1890" w:type="dxa"/>
          </w:tcPr>
          <w:p w:rsidR="002218D2" w:rsidRPr="002218D2" w:rsidRDefault="002218D2" w:rsidP="002218D2">
            <w:pPr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Good quality</w:t>
            </w:r>
          </w:p>
        </w:tc>
        <w:tc>
          <w:tcPr>
            <w:tcW w:w="99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218D2">
              <w:rPr>
                <w:rFonts w:asciiTheme="minorBidi" w:hAnsiTheme="minorBidi"/>
                <w:bCs/>
                <w:sz w:val="24"/>
                <w:szCs w:val="24"/>
              </w:rPr>
              <w:t>Pieces</w:t>
            </w:r>
          </w:p>
        </w:tc>
        <w:tc>
          <w:tcPr>
            <w:tcW w:w="2340" w:type="dxa"/>
            <w:vAlign w:val="center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994" w:type="dxa"/>
          </w:tcPr>
          <w:p w:rsidR="002218D2" w:rsidRPr="002218D2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8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2218D2" w:rsidRPr="00EB43D6" w:rsidRDefault="002218D2" w:rsidP="00221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AC" w:rsidRPr="00EB43D6" w:rsidTr="002218D2">
        <w:trPr>
          <w:trHeight w:val="193"/>
        </w:trPr>
        <w:tc>
          <w:tcPr>
            <w:tcW w:w="642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4" w:type="dxa"/>
            <w:gridSpan w:val="4"/>
          </w:tcPr>
          <w:p w:rsidR="007235AC" w:rsidRPr="00EB43D6" w:rsidRDefault="007235AC" w:rsidP="008B06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021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AC" w:rsidRPr="00EB43D6" w:rsidTr="002218D2">
        <w:trPr>
          <w:trHeight w:val="226"/>
        </w:trPr>
        <w:tc>
          <w:tcPr>
            <w:tcW w:w="642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4" w:type="dxa"/>
            <w:gridSpan w:val="4"/>
          </w:tcPr>
          <w:p w:rsidR="007235AC" w:rsidRPr="00EB43D6" w:rsidRDefault="007235AC" w:rsidP="008B06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021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AC" w:rsidRPr="00EB43D6" w:rsidTr="002218D2">
        <w:trPr>
          <w:trHeight w:val="280"/>
        </w:trPr>
        <w:tc>
          <w:tcPr>
            <w:tcW w:w="642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4" w:type="dxa"/>
            <w:gridSpan w:val="4"/>
          </w:tcPr>
          <w:p w:rsidR="007235AC" w:rsidRPr="00EB43D6" w:rsidRDefault="007235AC" w:rsidP="008B06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021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802" w:rsidRDefault="007A6802" w:rsidP="007A6802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B3591E" w:rsidRDefault="00B3591E" w:rsidP="00B3591E">
      <w:pPr>
        <w:tabs>
          <w:tab w:val="left" w:pos="90"/>
          <w:tab w:val="left" w:pos="990"/>
        </w:tabs>
        <w:spacing w:after="0" w:line="240" w:lineRule="auto"/>
        <w:ind w:left="36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2218D2" w:rsidRDefault="002218D2" w:rsidP="00B3591E">
      <w:pPr>
        <w:tabs>
          <w:tab w:val="left" w:pos="90"/>
          <w:tab w:val="left" w:pos="990"/>
        </w:tabs>
        <w:spacing w:after="0" w:line="240" w:lineRule="auto"/>
        <w:ind w:left="36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2218D2" w:rsidRDefault="002218D2" w:rsidP="00B3591E">
      <w:pPr>
        <w:tabs>
          <w:tab w:val="left" w:pos="90"/>
          <w:tab w:val="left" w:pos="990"/>
        </w:tabs>
        <w:spacing w:after="0" w:line="240" w:lineRule="auto"/>
        <w:ind w:left="36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2218D2" w:rsidRPr="00B3591E" w:rsidRDefault="002218D2" w:rsidP="00B3591E">
      <w:pPr>
        <w:tabs>
          <w:tab w:val="left" w:pos="90"/>
          <w:tab w:val="left" w:pos="990"/>
        </w:tabs>
        <w:spacing w:after="0" w:line="240" w:lineRule="auto"/>
        <w:ind w:left="36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D763D5" w:rsidRPr="00EB43D6" w:rsidRDefault="000A2B0D" w:rsidP="00D763D5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</w:t>
      </w:r>
      <w:r w:rsidR="00726427" w:rsidRPr="00EB43D6">
        <w:rPr>
          <w:rFonts w:ascii="Arial" w:hAnsi="Arial" w:cs="Arial"/>
          <w:color w:val="000000" w:themeColor="text1"/>
          <w:sz w:val="24"/>
          <w:szCs w:val="24"/>
        </w:rPr>
        <w:t xml:space="preserve"> item, Total price of all items </w:t>
      </w:r>
      <w:r w:rsidR="00D763D5" w:rsidRPr="00EB43D6">
        <w:rPr>
          <w:rFonts w:ascii="Arial" w:hAnsi="Arial" w:cs="Arial"/>
          <w:color w:val="000000" w:themeColor="text1"/>
          <w:sz w:val="24"/>
          <w:szCs w:val="24"/>
        </w:rPr>
        <w:t xml:space="preserve">without </w:t>
      </w:r>
      <w:r w:rsidRPr="00EB43D6">
        <w:rPr>
          <w:rFonts w:ascii="Arial" w:hAnsi="Arial" w:cs="Arial"/>
          <w:color w:val="000000" w:themeColor="text1"/>
          <w:sz w:val="24"/>
          <w:szCs w:val="24"/>
        </w:rPr>
        <w:t>all applicable taxes and total price with all taxes.</w:t>
      </w:r>
    </w:p>
    <w:p w:rsidR="000A2B0D" w:rsidRPr="00EB43D6" w:rsidRDefault="000A2B0D" w:rsidP="00D763D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 w:rsidRPr="00E931BA"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 w:rsidRPr="00EB43D6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E931BA"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 w:rsidRPr="00EB43D6"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1058B5" w:rsidRDefault="009705D2" w:rsidP="00E93238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54" w:hanging="59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Items shall</w:t>
      </w:r>
      <w:r w:rsidR="00973A8D">
        <w:rPr>
          <w:rFonts w:ascii="Arial" w:hAnsi="Arial" w:cs="Arial"/>
          <w:color w:val="000000" w:themeColor="text1"/>
          <w:sz w:val="24"/>
          <w:szCs w:val="24"/>
        </w:rPr>
        <w:t xml:space="preserve"> be delivered, installed and commissioned </w:t>
      </w:r>
      <w:r>
        <w:rPr>
          <w:rFonts w:ascii="Arial" w:hAnsi="Arial" w:cs="Arial"/>
          <w:color w:val="000000" w:themeColor="text1"/>
          <w:sz w:val="24"/>
          <w:szCs w:val="24"/>
        </w:rPr>
        <w:t>by successful vendor at his own cost and risk at NUTECH.</w:t>
      </w:r>
    </w:p>
    <w:p w:rsidR="002218D2" w:rsidRDefault="002218D2" w:rsidP="002218D2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B2176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>Islamabad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latest </w:t>
      </w:r>
    </w:p>
    <w:p w:rsidR="002218D2" w:rsidRDefault="002218D2" w:rsidP="002218D2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286295">
        <w:rPr>
          <w:rFonts w:ascii="Arial" w:hAnsi="Arial" w:cs="Arial"/>
          <w:color w:val="000000" w:themeColor="text1"/>
          <w:sz w:val="24"/>
          <w:szCs w:val="24"/>
        </w:rPr>
        <w:t>23</w:t>
      </w:r>
      <w:bookmarkStart w:id="0" w:name="_GoBack"/>
      <w:bookmarkEnd w:id="0"/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Dec 2020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18D2" w:rsidRPr="00427A46" w:rsidRDefault="002218D2" w:rsidP="00427A46">
      <w:pPr>
        <w:pStyle w:val="ListParagraph"/>
        <w:numPr>
          <w:ilvl w:val="0"/>
          <w:numId w:val="8"/>
        </w:numPr>
        <w:tabs>
          <w:tab w:val="left" w:pos="90"/>
        </w:tabs>
        <w:spacing w:after="0" w:line="240" w:lineRule="auto"/>
        <w:ind w:hanging="9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A46">
        <w:rPr>
          <w:rFonts w:ascii="Arial" w:hAnsi="Arial" w:cs="Arial"/>
          <w:color w:val="000000" w:themeColor="text1"/>
          <w:sz w:val="24"/>
          <w:szCs w:val="24"/>
        </w:rPr>
        <w:t>The same RFQ may also be available on NUTECH Website i.e https://nutech.edu.pk/downloads/procurement/rfqs/</w:t>
      </w:r>
    </w:p>
    <w:p w:rsidR="000A2B0D" w:rsidRPr="00EB43D6" w:rsidRDefault="000A2B0D" w:rsidP="00427A46">
      <w:pPr>
        <w:pStyle w:val="ListParagraph"/>
        <w:numPr>
          <w:ilvl w:val="0"/>
          <w:numId w:val="9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2218D2">
        <w:rPr>
          <w:rFonts w:ascii="Arial" w:hAnsi="Arial" w:cs="Arial"/>
          <w:color w:val="000000" w:themeColor="text1"/>
          <w:sz w:val="24"/>
          <w:szCs w:val="24"/>
        </w:rPr>
        <w:t>3</w:t>
      </w:r>
      <w:r w:rsidR="007847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43D6">
        <w:rPr>
          <w:rFonts w:ascii="Arial" w:hAnsi="Arial" w:cs="Arial"/>
          <w:color w:val="000000" w:themeColor="text1"/>
          <w:sz w:val="24"/>
          <w:szCs w:val="24"/>
        </w:rPr>
        <w:t>day</w:t>
      </w:r>
      <w:r w:rsidR="007847A2">
        <w:rPr>
          <w:rFonts w:ascii="Arial" w:hAnsi="Arial" w:cs="Arial"/>
          <w:color w:val="000000" w:themeColor="text1"/>
          <w:sz w:val="24"/>
          <w:szCs w:val="24"/>
        </w:rPr>
        <w:t>s</w:t>
      </w:r>
      <w:r w:rsidRPr="00EB43D6">
        <w:rPr>
          <w:rFonts w:ascii="Arial" w:hAnsi="Arial" w:cs="Arial"/>
          <w:color w:val="000000" w:themeColor="text1"/>
          <w:sz w:val="24"/>
          <w:szCs w:val="24"/>
        </w:rPr>
        <w:t xml:space="preserve"> from the day of placing order</w:t>
      </w:r>
      <w:r w:rsidR="00726427" w:rsidRPr="00EB43D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A2B0D" w:rsidRDefault="000A2B0D" w:rsidP="00427A46">
      <w:pPr>
        <w:pStyle w:val="ListParagraph"/>
        <w:numPr>
          <w:ilvl w:val="0"/>
          <w:numId w:val="9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421E39" w:rsidRDefault="00421E39" w:rsidP="00427A46">
      <w:pPr>
        <w:pStyle w:val="ListParagraph"/>
        <w:numPr>
          <w:ilvl w:val="0"/>
          <w:numId w:val="9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AC3D98" w:rsidRDefault="00AC3D98" w:rsidP="00AC3D98">
      <w:pPr>
        <w:pStyle w:val="ListParagraph"/>
        <w:tabs>
          <w:tab w:val="left" w:pos="90"/>
        </w:tabs>
        <w:spacing w:after="0" w:line="24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3D98" w:rsidRPr="00EB43D6" w:rsidRDefault="00AC3D98" w:rsidP="00AC3D98">
      <w:pPr>
        <w:pStyle w:val="ListParagraph"/>
        <w:tabs>
          <w:tab w:val="left" w:pos="90"/>
        </w:tabs>
        <w:spacing w:after="0" w:line="24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58B5" w:rsidRPr="00EB43D6" w:rsidRDefault="001058B5" w:rsidP="001058B5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1058B5" w:rsidRPr="00EB43D6" w:rsidRDefault="001058B5" w:rsidP="001058B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Operations &amp; Inventory Management</w:t>
      </w:r>
    </w:p>
    <w:p w:rsidR="001B33E9" w:rsidRPr="00EB43D6" w:rsidRDefault="001058B5" w:rsidP="00FB7C2B">
      <w:pPr>
        <w:jc w:val="right"/>
        <w:rPr>
          <w:rFonts w:ascii="Arial" w:hAnsi="Arial" w:cs="Arial"/>
          <w:sz w:val="24"/>
          <w:szCs w:val="24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1B33E9" w:rsidRPr="00EB43D6" w:rsidSect="000A7036">
      <w:pgSz w:w="12240" w:h="15840"/>
      <w:pgMar w:top="1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A2" w:rsidRDefault="00F108A2" w:rsidP="00832B78">
      <w:pPr>
        <w:spacing w:after="0" w:line="240" w:lineRule="auto"/>
      </w:pPr>
      <w:r>
        <w:separator/>
      </w:r>
    </w:p>
  </w:endnote>
  <w:endnote w:type="continuationSeparator" w:id="0">
    <w:p w:rsidR="00F108A2" w:rsidRDefault="00F108A2" w:rsidP="0083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A2" w:rsidRDefault="00F108A2" w:rsidP="00832B78">
      <w:pPr>
        <w:spacing w:after="0" w:line="240" w:lineRule="auto"/>
      </w:pPr>
      <w:r>
        <w:separator/>
      </w:r>
    </w:p>
  </w:footnote>
  <w:footnote w:type="continuationSeparator" w:id="0">
    <w:p w:rsidR="00F108A2" w:rsidRDefault="00F108A2" w:rsidP="0083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4D3E"/>
    <w:multiLevelType w:val="hybridMultilevel"/>
    <w:tmpl w:val="ED66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7400"/>
    <w:multiLevelType w:val="hybridMultilevel"/>
    <w:tmpl w:val="DB249A76"/>
    <w:lvl w:ilvl="0" w:tplc="00CA9CDC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A5D0A"/>
    <w:multiLevelType w:val="hybridMultilevel"/>
    <w:tmpl w:val="29005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0D4CC4"/>
    <w:multiLevelType w:val="hybridMultilevel"/>
    <w:tmpl w:val="7F9E2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93544B"/>
    <w:multiLevelType w:val="hybridMultilevel"/>
    <w:tmpl w:val="30E6361A"/>
    <w:lvl w:ilvl="0" w:tplc="C1A8E33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0C3EDF"/>
    <w:multiLevelType w:val="hybridMultilevel"/>
    <w:tmpl w:val="ADBA39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B2C290B"/>
    <w:multiLevelType w:val="hybridMultilevel"/>
    <w:tmpl w:val="6D1C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C2"/>
    <w:rsid w:val="00051700"/>
    <w:rsid w:val="0006028F"/>
    <w:rsid w:val="00072E1B"/>
    <w:rsid w:val="000A2B0D"/>
    <w:rsid w:val="000A7036"/>
    <w:rsid w:val="000B0F04"/>
    <w:rsid w:val="000D5E4A"/>
    <w:rsid w:val="000E2169"/>
    <w:rsid w:val="000E2ADA"/>
    <w:rsid w:val="000E2F4C"/>
    <w:rsid w:val="000F2DC2"/>
    <w:rsid w:val="001058B5"/>
    <w:rsid w:val="00112822"/>
    <w:rsid w:val="00134E4C"/>
    <w:rsid w:val="001478E1"/>
    <w:rsid w:val="0015740D"/>
    <w:rsid w:val="001812C8"/>
    <w:rsid w:val="00186C04"/>
    <w:rsid w:val="00190BE5"/>
    <w:rsid w:val="001A046D"/>
    <w:rsid w:val="001B007A"/>
    <w:rsid w:val="001B2B86"/>
    <w:rsid w:val="001B33E9"/>
    <w:rsid w:val="001C24DB"/>
    <w:rsid w:val="001D397C"/>
    <w:rsid w:val="001E5997"/>
    <w:rsid w:val="00204757"/>
    <w:rsid w:val="002056F4"/>
    <w:rsid w:val="002218D2"/>
    <w:rsid w:val="00235C45"/>
    <w:rsid w:val="00241AEE"/>
    <w:rsid w:val="002611E3"/>
    <w:rsid w:val="00286295"/>
    <w:rsid w:val="002969B6"/>
    <w:rsid w:val="002A750B"/>
    <w:rsid w:val="002C1E9A"/>
    <w:rsid w:val="002F4AC2"/>
    <w:rsid w:val="002F61F3"/>
    <w:rsid w:val="00322921"/>
    <w:rsid w:val="00323EE6"/>
    <w:rsid w:val="003450A4"/>
    <w:rsid w:val="00350A96"/>
    <w:rsid w:val="003547A2"/>
    <w:rsid w:val="00391C55"/>
    <w:rsid w:val="00391FF7"/>
    <w:rsid w:val="003B1DC7"/>
    <w:rsid w:val="003B4DA7"/>
    <w:rsid w:val="003C5B3E"/>
    <w:rsid w:val="003E2E4A"/>
    <w:rsid w:val="003E3062"/>
    <w:rsid w:val="00411310"/>
    <w:rsid w:val="0042013A"/>
    <w:rsid w:val="00421E39"/>
    <w:rsid w:val="00427A46"/>
    <w:rsid w:val="00446B09"/>
    <w:rsid w:val="00473ED8"/>
    <w:rsid w:val="00487D9B"/>
    <w:rsid w:val="00491A9B"/>
    <w:rsid w:val="00557C3D"/>
    <w:rsid w:val="005758DC"/>
    <w:rsid w:val="0058325B"/>
    <w:rsid w:val="005A63B9"/>
    <w:rsid w:val="005C5F40"/>
    <w:rsid w:val="005E086A"/>
    <w:rsid w:val="005E3D7E"/>
    <w:rsid w:val="00606E8C"/>
    <w:rsid w:val="006132FE"/>
    <w:rsid w:val="00626AC2"/>
    <w:rsid w:val="006300DC"/>
    <w:rsid w:val="0064232F"/>
    <w:rsid w:val="006440C2"/>
    <w:rsid w:val="00662A99"/>
    <w:rsid w:val="00677A06"/>
    <w:rsid w:val="006F1685"/>
    <w:rsid w:val="006F22E0"/>
    <w:rsid w:val="007235AC"/>
    <w:rsid w:val="0072582F"/>
    <w:rsid w:val="00726427"/>
    <w:rsid w:val="0073046A"/>
    <w:rsid w:val="00744973"/>
    <w:rsid w:val="0075568B"/>
    <w:rsid w:val="00761FB5"/>
    <w:rsid w:val="007700BC"/>
    <w:rsid w:val="00782C9E"/>
    <w:rsid w:val="0078333F"/>
    <w:rsid w:val="007847A2"/>
    <w:rsid w:val="007A6802"/>
    <w:rsid w:val="007D0D53"/>
    <w:rsid w:val="007D6307"/>
    <w:rsid w:val="007D6F1A"/>
    <w:rsid w:val="007E146A"/>
    <w:rsid w:val="007E513F"/>
    <w:rsid w:val="007E6166"/>
    <w:rsid w:val="00832B78"/>
    <w:rsid w:val="00852047"/>
    <w:rsid w:val="00870C7F"/>
    <w:rsid w:val="008B06FA"/>
    <w:rsid w:val="008B5C12"/>
    <w:rsid w:val="008D562B"/>
    <w:rsid w:val="0092522E"/>
    <w:rsid w:val="00942AED"/>
    <w:rsid w:val="00953BCF"/>
    <w:rsid w:val="009705D2"/>
    <w:rsid w:val="00973A8D"/>
    <w:rsid w:val="00974637"/>
    <w:rsid w:val="00975BB3"/>
    <w:rsid w:val="009911C4"/>
    <w:rsid w:val="00993792"/>
    <w:rsid w:val="00995118"/>
    <w:rsid w:val="009B6593"/>
    <w:rsid w:val="009D5906"/>
    <w:rsid w:val="009E3AA1"/>
    <w:rsid w:val="009E79BE"/>
    <w:rsid w:val="00A02FD3"/>
    <w:rsid w:val="00A71769"/>
    <w:rsid w:val="00A71B11"/>
    <w:rsid w:val="00A810F1"/>
    <w:rsid w:val="00A936F4"/>
    <w:rsid w:val="00AB4C77"/>
    <w:rsid w:val="00AB5928"/>
    <w:rsid w:val="00AC2AFA"/>
    <w:rsid w:val="00AC3D98"/>
    <w:rsid w:val="00AC764A"/>
    <w:rsid w:val="00B32513"/>
    <w:rsid w:val="00B35069"/>
    <w:rsid w:val="00B3591E"/>
    <w:rsid w:val="00B36FF0"/>
    <w:rsid w:val="00B73724"/>
    <w:rsid w:val="00B80E92"/>
    <w:rsid w:val="00B93EC4"/>
    <w:rsid w:val="00BA08C2"/>
    <w:rsid w:val="00BC3130"/>
    <w:rsid w:val="00BF219C"/>
    <w:rsid w:val="00C458CF"/>
    <w:rsid w:val="00C87DA1"/>
    <w:rsid w:val="00C94D29"/>
    <w:rsid w:val="00CA07E6"/>
    <w:rsid w:val="00CA260E"/>
    <w:rsid w:val="00CB1A28"/>
    <w:rsid w:val="00CE5085"/>
    <w:rsid w:val="00CF32E2"/>
    <w:rsid w:val="00D11BBF"/>
    <w:rsid w:val="00D6025D"/>
    <w:rsid w:val="00D64C4E"/>
    <w:rsid w:val="00D6766C"/>
    <w:rsid w:val="00D763D5"/>
    <w:rsid w:val="00D76647"/>
    <w:rsid w:val="00D80278"/>
    <w:rsid w:val="00DB3F8B"/>
    <w:rsid w:val="00DF22BB"/>
    <w:rsid w:val="00E06F30"/>
    <w:rsid w:val="00E110E4"/>
    <w:rsid w:val="00E12036"/>
    <w:rsid w:val="00E444ED"/>
    <w:rsid w:val="00E56BA7"/>
    <w:rsid w:val="00E7283B"/>
    <w:rsid w:val="00E931BA"/>
    <w:rsid w:val="00E93238"/>
    <w:rsid w:val="00E94F7E"/>
    <w:rsid w:val="00EA491F"/>
    <w:rsid w:val="00EA4DC2"/>
    <w:rsid w:val="00EB43D6"/>
    <w:rsid w:val="00EB5947"/>
    <w:rsid w:val="00EC153F"/>
    <w:rsid w:val="00EC2704"/>
    <w:rsid w:val="00EE4FF6"/>
    <w:rsid w:val="00EF65F8"/>
    <w:rsid w:val="00F01F7C"/>
    <w:rsid w:val="00F108A2"/>
    <w:rsid w:val="00F71B32"/>
    <w:rsid w:val="00F77FBA"/>
    <w:rsid w:val="00F94D5E"/>
    <w:rsid w:val="00FB1EB8"/>
    <w:rsid w:val="00FB318C"/>
    <w:rsid w:val="00FB7C2B"/>
    <w:rsid w:val="00FE0342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9B05C-649F-401C-B6B0-D32CE856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2F4AC2"/>
    <w:pPr>
      <w:spacing w:after="160" w:line="254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78"/>
  </w:style>
  <w:style w:type="paragraph" w:styleId="Footer">
    <w:name w:val="footer"/>
    <w:basedOn w:val="Normal"/>
    <w:link w:val="Foot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78"/>
  </w:style>
  <w:style w:type="character" w:styleId="Strong">
    <w:name w:val="Strong"/>
    <w:basedOn w:val="DefaultParagraphFont"/>
    <w:uiPriority w:val="22"/>
    <w:qFormat/>
    <w:rsid w:val="007847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A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5B3E"/>
    <w:rPr>
      <w:i/>
      <w:iCs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218D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4082-AC51-4D60-AE83-F0EFF252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Faisal Khan</cp:lastModifiedBy>
  <cp:revision>10</cp:revision>
  <cp:lastPrinted>2020-06-25T05:50:00Z</cp:lastPrinted>
  <dcterms:created xsi:type="dcterms:W3CDTF">2020-06-24T07:43:00Z</dcterms:created>
  <dcterms:modified xsi:type="dcterms:W3CDTF">2020-12-16T08:55:00Z</dcterms:modified>
</cp:coreProperties>
</file>